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Advanced Flower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Leonard M. Tannenbaum</w:t>
              <w:br/>
              <w:t xml:space="preserve">477 S. Rosemary Ave, Suite 301, </w:t>
              <w:br/>
              <w:t>West Palm Beach, FL, 33401</w:t>
              <w:br/>
              <w:t>(561) 510-2390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Leonard M. Tannenbaum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6,680,445.00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180,400.00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6,680,445.00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180,400.00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6,860,845.00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Amendment No. 8 to Schedule 13D (this "Amendment No. 8") amends and supplements the Schedule 13D originally filed with the Securities and Exchange Commission (the "SEC") by Leonard M. Tannenbaum (the "Reporting Person") with respect to Advanced Flower Capital Inc. (the "Issuer") on April 2, 2021 (the "Schedule 13D"), as amended by Amendment No. 1 to Schedule 13D filed on July 2, 2024, Amendment No. 2 to Schedule 13D filed on August 26, 2025, Amendment No. 3 to Schedule 13D filed on August 29, 2025, Amendment No. 4 to Schedule 13D filed on November 24, 2025, Amendment No. 5 to Schedule 13D filed on March 11, 2026, Amendment No. 6 to Schedule 13D filed on March 24, 2026 and Amendment No. 7 to Schedule 13D filed on June 18, 2026. This Amendment No. 8 is being filed to report changes in the Reporting Person's beneficial ownership of the Issuer's common stock, par value $0.01 per share (the "Common Stock"). Since the filing of the Reporting Person's most recent Schedule 13D/A, the Reporting Person has acquired additional shares of the Issuer's Common Stock that resulted in an increase in the Reporting Person's beneficial ownership by more than one percent (1%) of the outstanding shares of the Issuer's Common Stock. As the aggregate result of the transactions described herein, the Reporting Person's aggregate beneficial ownership of the Issuer's Common Stock has increased by approximately 1.1 percentage points since the filing of the most recent Schedule 13D/A. The Schedule 13D is hereby amended and supplemented to include the information set forth herein. Capitalized terms not defined herein have the meanings given to such terms in the Schedule 13D. Except as set forth herein, the Schedule 13D is unmodified. Lines 7 and 9 consist of 6,680,445 shares of the Issuer's Common Stock held directly by the Reporting Person. Lines 8 and 10 consist of 180,400 shares of Common Stock held by the Tannenbaum Family Foundation (formerly known as the Leonard M. Tannenbaum Foundation), for which the Reporting Person serves as the President, over which the Reporting Person disclaims beneficial ownership, except to the extent of his pecuniary interest. The Schedule 13D excludes 226,907 shares of Common Stock held by Ms. Robyn Tannenbaum, the Reporting Person's spouse, over which the Reporting Person disclaims beneficial ownership. Line 13 is based on the 22,541,928 shares of Common Stock outstanding as of August 25, 2026, as reported in the Issuer's Form 8-K, filed with the SEC on August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Item 1.</w:t>
            </w:r>
          </w:p>
        </w:tc>
        <w:tc>
          <w:tcPr>
            <w:tcW w:w="9051" w:type="dxa"/>
            <w:tcBorders/>
            <w:vAlign w:val="center"/>
          </w:tcPr>
          <w:p>
            <w:pPr>
              <w:pStyle w:val="TableContents"/>
              <w:bidi w:val="0"/>
              <w:spacing w:before="0" w:after="283"/>
              <w:jc w:val="left"/>
              <w:rPr/>
            </w:pPr>
            <w:r>
              <w:rPr/>
              <w:t>Security and Issuer</w:t>
            </w:r>
          </w:p>
        </w:tc>
      </w:tr>
      <w:tr>
        <w:trPr/>
        <w:tc>
          <w:tcPr>
            <w:tcW w:w="1154" w:type="dxa"/>
            <w:tcBorders/>
            <w:vAlign w:val="center"/>
          </w:tcPr>
          <w:p>
            <w:pPr>
              <w:pStyle w:val="TableContents"/>
              <w:bidi w:val="0"/>
              <w:spacing w:before="0" w:after="283"/>
              <w:jc w:val="left"/>
              <w:rPr/>
            </w:pPr>
            <w:r>
              <w:rPr/>
              <w:t>(a)</w:t>
            </w:r>
          </w:p>
        </w:tc>
        <w:tc>
          <w:tcPr>
            <w:tcW w:w="90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54" w:type="dxa"/>
            <w:tcBorders/>
            <w:vAlign w:val="center"/>
          </w:tcPr>
          <w:p>
            <w:pPr>
              <w:pStyle w:val="TableContents"/>
              <w:bidi w:val="0"/>
              <w:spacing w:before="0" w:after="283"/>
              <w:jc w:val="left"/>
              <w:rPr/>
            </w:pPr>
            <w:r>
              <w:rPr/>
              <w:t>(b)</w:t>
            </w:r>
          </w:p>
        </w:tc>
        <w:tc>
          <w:tcPr>
            <w:tcW w:w="9051" w:type="dxa"/>
            <w:tcBorders/>
            <w:vAlign w:val="center"/>
          </w:tcPr>
          <w:p>
            <w:pPr>
              <w:pStyle w:val="TableContents"/>
              <w:bidi w:val="0"/>
              <w:jc w:val="left"/>
              <w:rPr/>
            </w:pPr>
            <w:r>
              <w:rPr/>
              <w:t xml:space="preserve">Name of Issuer: </w:t>
            </w:r>
          </w:p>
          <w:p>
            <w:pPr>
              <w:pStyle w:val="TableContents"/>
              <w:bidi w:val="0"/>
              <w:spacing w:before="0" w:after="0"/>
              <w:jc w:val="left"/>
              <w:rPr/>
            </w:pPr>
            <w:r>
              <w:rPr/>
              <w:t>Advanced Flower Capital Inc.</w:t>
            </w:r>
          </w:p>
        </w:tc>
      </w:tr>
      <w:tr>
        <w:trPr/>
        <w:tc>
          <w:tcPr>
            <w:tcW w:w="1154" w:type="dxa"/>
            <w:tcBorders/>
            <w:vAlign w:val="center"/>
          </w:tcPr>
          <w:p>
            <w:pPr>
              <w:pStyle w:val="TableContents"/>
              <w:bidi w:val="0"/>
              <w:spacing w:before="0" w:after="283"/>
              <w:jc w:val="left"/>
              <w:rPr/>
            </w:pPr>
            <w:r>
              <w:rPr/>
              <w:t>(c)</w:t>
            </w:r>
          </w:p>
        </w:tc>
        <w:tc>
          <w:tcPr>
            <w:tcW w:w="90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477 S. Rosemary Ave., Suite 301, West Palm Beach, FLORIDA , 33401.</w:t>
            </w:r>
          </w:p>
        </w:tc>
      </w:tr>
      <w:tr>
        <w:trPr/>
        <w:tc>
          <w:tcPr>
            <w:tcW w:w="1154" w:type="dxa"/>
            <w:tcBorders/>
            <w:vAlign w:val="center"/>
          </w:tcPr>
          <w:p>
            <w:pPr>
              <w:pStyle w:val="TableContents"/>
              <w:bidi w:val="0"/>
              <w:spacing w:before="0" w:after="283"/>
              <w:jc w:val="left"/>
              <w:rPr/>
            </w:pPr>
            <w:r>
              <w:rPr/>
              <w:t>Item 3.</w:t>
            </w:r>
          </w:p>
        </w:tc>
        <w:tc>
          <w:tcPr>
            <w:tcW w:w="9051" w:type="dxa"/>
            <w:tcBorders/>
            <w:vAlign w:val="center"/>
          </w:tcPr>
          <w:p>
            <w:pPr>
              <w:pStyle w:val="TableContents"/>
              <w:bidi w:val="0"/>
              <w:spacing w:before="0" w:after="283"/>
              <w:jc w:val="left"/>
              <w:rPr/>
            </w:pPr>
            <w:r>
              <w:rPr/>
              <w:t>Source and Amount of Funds or Other Consideration</w:t>
            </w:r>
          </w:p>
        </w:tc>
      </w:tr>
      <w:tr>
        <w:trPr/>
        <w:tc>
          <w:tcPr>
            <w:tcW w:w="1154" w:type="dxa"/>
            <w:tcBorders/>
            <w:vAlign w:val="center"/>
          </w:tcPr>
          <w:p>
            <w:pPr>
              <w:pStyle w:val="TableContents"/>
              <w:bidi w:val="0"/>
              <w:spacing w:before="0" w:after="283"/>
              <w:jc w:val="left"/>
              <w:rPr/>
            </w:pPr>
            <w:r>
              <w:rPr/>
              <w:t> </w:t>
            </w:r>
          </w:p>
        </w:tc>
        <w:tc>
          <w:tcPr>
            <w:tcW w:w="9051" w:type="dxa"/>
            <w:tcBorders/>
            <w:vAlign w:val="center"/>
          </w:tcPr>
          <w:p>
            <w:pPr>
              <w:pStyle w:val="TableContents"/>
              <w:bidi w:val="0"/>
              <w:spacing w:before="0" w:after="0"/>
              <w:jc w:val="left"/>
              <w:rPr/>
            </w:pPr>
            <w:r>
              <w:rPr/>
              <w:t>Item 3 of the Schedule 13D is hereby amended and supplemented by the addition of the following information: Since June 18, 2026, the Reporting Person purchased shares of Common Stock in multiple open market transactions using personal funds, as listed on Schedule A, attached hereto, and incorporated herein. In addition, this Amendment No. 8 is being filed to reflect increases in the percentage of outstanding Common Stock of the Issuer beneficially owned by the Reporting Person as a result of repurchases of shares of Common Stock made by the Issuer in the open market in the period from August 17, 2026 to August 25, 2026, under the Issuer's share repurchase program authorized by the Board of Directors of the Issuer.</w:t>
            </w:r>
          </w:p>
        </w:tc>
      </w:tr>
      <w:tr>
        <w:trPr/>
        <w:tc>
          <w:tcPr>
            <w:tcW w:w="1154" w:type="dxa"/>
            <w:tcBorders/>
            <w:vAlign w:val="center"/>
          </w:tcPr>
          <w:p>
            <w:pPr>
              <w:pStyle w:val="TableContents"/>
              <w:bidi w:val="0"/>
              <w:spacing w:before="0" w:after="283"/>
              <w:jc w:val="left"/>
              <w:rPr/>
            </w:pPr>
            <w:r>
              <w:rPr/>
              <w:t>Item 5.</w:t>
            </w:r>
          </w:p>
        </w:tc>
        <w:tc>
          <w:tcPr>
            <w:tcW w:w="9051" w:type="dxa"/>
            <w:tcBorders/>
            <w:vAlign w:val="center"/>
          </w:tcPr>
          <w:p>
            <w:pPr>
              <w:pStyle w:val="TableContents"/>
              <w:bidi w:val="0"/>
              <w:spacing w:before="0" w:after="283"/>
              <w:jc w:val="left"/>
              <w:rPr/>
            </w:pPr>
            <w:r>
              <w:rPr/>
              <w:t>Interest in Securities of the Issuer</w:t>
            </w:r>
          </w:p>
        </w:tc>
      </w:tr>
      <w:tr>
        <w:trPr/>
        <w:tc>
          <w:tcPr>
            <w:tcW w:w="1154" w:type="dxa"/>
            <w:tcBorders/>
            <w:vAlign w:val="center"/>
          </w:tcPr>
          <w:p>
            <w:pPr>
              <w:pStyle w:val="TableContents"/>
              <w:bidi w:val="0"/>
              <w:spacing w:before="0" w:after="283"/>
              <w:jc w:val="left"/>
              <w:rPr/>
            </w:pPr>
            <w:r>
              <w:rPr/>
              <w:t>(a)</w:t>
            </w:r>
          </w:p>
        </w:tc>
        <w:tc>
          <w:tcPr>
            <w:tcW w:w="9051" w:type="dxa"/>
            <w:tcBorders/>
            <w:vAlign w:val="center"/>
          </w:tcPr>
          <w:p>
            <w:pPr>
              <w:pStyle w:val="TableContents"/>
              <w:bidi w:val="0"/>
              <w:spacing w:before="0" w:after="0"/>
              <w:jc w:val="left"/>
              <w:rPr/>
            </w:pPr>
            <w:r>
              <w:rPr/>
              <w:t>See Items 7-11 and 13 of the cover page above and Item 3.</w:t>
            </w:r>
          </w:p>
        </w:tc>
      </w:tr>
      <w:tr>
        <w:trPr/>
        <w:tc>
          <w:tcPr>
            <w:tcW w:w="1154" w:type="dxa"/>
            <w:tcBorders/>
            <w:vAlign w:val="center"/>
          </w:tcPr>
          <w:p>
            <w:pPr>
              <w:pStyle w:val="TableContents"/>
              <w:bidi w:val="0"/>
              <w:spacing w:before="0" w:after="283"/>
              <w:jc w:val="left"/>
              <w:rPr/>
            </w:pPr>
            <w:r>
              <w:rPr/>
              <w:t>(b)</w:t>
            </w:r>
          </w:p>
        </w:tc>
        <w:tc>
          <w:tcPr>
            <w:tcW w:w="9051" w:type="dxa"/>
            <w:tcBorders/>
            <w:vAlign w:val="center"/>
          </w:tcPr>
          <w:p>
            <w:pPr>
              <w:pStyle w:val="TableContents"/>
              <w:bidi w:val="0"/>
              <w:spacing w:before="0" w:after="0"/>
              <w:jc w:val="left"/>
              <w:rPr/>
            </w:pPr>
            <w:r>
              <w:rPr/>
              <w:t>See Items 7-11 and 13 of the cover page above and Item 3.</w:t>
            </w:r>
          </w:p>
        </w:tc>
      </w:tr>
      <w:tr>
        <w:trPr/>
        <w:tc>
          <w:tcPr>
            <w:tcW w:w="1154" w:type="dxa"/>
            <w:tcBorders/>
            <w:vAlign w:val="center"/>
          </w:tcPr>
          <w:p>
            <w:pPr>
              <w:pStyle w:val="TableContents"/>
              <w:bidi w:val="0"/>
              <w:spacing w:before="0" w:after="283"/>
              <w:jc w:val="left"/>
              <w:rPr/>
            </w:pPr>
            <w:r>
              <w:rPr/>
              <w:t>(c)</w:t>
            </w:r>
          </w:p>
        </w:tc>
        <w:tc>
          <w:tcPr>
            <w:tcW w:w="9051" w:type="dxa"/>
            <w:tcBorders/>
            <w:vAlign w:val="center"/>
          </w:tcPr>
          <w:p>
            <w:pPr>
              <w:pStyle w:val="TableContents"/>
              <w:bidi w:val="0"/>
              <w:spacing w:before="0" w:after="0"/>
              <w:jc w:val="left"/>
              <w:rPr/>
            </w:pPr>
            <w:r>
              <w:rPr/>
              <w:t>Transactions in the Common Stock since the last Schedule 13D/A filing are set forth in Schedule A and are incorporated herein. Other than those transactions listed on Schedule A, no transactions in the shares of Common Stock have been effected by the Reporting Person since the filing of Amendment No. 7 to Schedule 13D on June 18, 2026.</w:t>
            </w:r>
          </w:p>
        </w:tc>
      </w:tr>
      <w:tr>
        <w:trPr/>
        <w:tc>
          <w:tcPr>
            <w:tcW w:w="1154" w:type="dxa"/>
            <w:tcBorders/>
            <w:vAlign w:val="center"/>
          </w:tcPr>
          <w:p>
            <w:pPr>
              <w:pStyle w:val="TableContents"/>
              <w:bidi w:val="0"/>
              <w:spacing w:before="0" w:after="283"/>
              <w:jc w:val="left"/>
              <w:rPr/>
            </w:pPr>
            <w:r>
              <w:rPr/>
              <w:t>Item 7.</w:t>
            </w:r>
          </w:p>
        </w:tc>
        <w:tc>
          <w:tcPr>
            <w:tcW w:w="9051" w:type="dxa"/>
            <w:tcBorders/>
            <w:vAlign w:val="center"/>
          </w:tcPr>
          <w:p>
            <w:pPr>
              <w:pStyle w:val="TableContents"/>
              <w:bidi w:val="0"/>
              <w:spacing w:before="0" w:after="283"/>
              <w:jc w:val="left"/>
              <w:rPr/>
            </w:pPr>
            <w:r>
              <w:rPr/>
              <w:t>Material to be Filed as Exhibits.</w:t>
            </w:r>
          </w:p>
        </w:tc>
      </w:tr>
      <w:tr>
        <w:trPr/>
        <w:tc>
          <w:tcPr>
            <w:tcW w:w="1154" w:type="dxa"/>
            <w:tcBorders/>
            <w:vAlign w:val="center"/>
          </w:tcPr>
          <w:p>
            <w:pPr>
              <w:pStyle w:val="TableContents"/>
              <w:bidi w:val="0"/>
              <w:spacing w:before="0" w:after="283"/>
              <w:jc w:val="left"/>
              <w:rPr/>
            </w:pPr>
            <w:r>
              <w:rPr/>
              <w:t> </w:t>
            </w:r>
          </w:p>
        </w:tc>
        <w:tc>
          <w:tcPr>
            <w:tcW w:w="9051" w:type="dxa"/>
            <w:tcBorders/>
            <w:vAlign w:val="center"/>
          </w:tcPr>
          <w:p>
            <w:pPr>
              <w:pStyle w:val="TableContents"/>
              <w:bidi w:val="0"/>
              <w:spacing w:before="0" w:after="0"/>
              <w:jc w:val="left"/>
              <w:rPr/>
            </w:pPr>
            <w:r>
              <w:rPr/>
              <w:t>Ex 99.1 - Schedule A - Attached here.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Leonard M. Tannenbaum</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Leonard M. Tannenbaum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Leonard M. Tannenbaum</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14" w:name="advancedflower_ex99-1.htm"/>
      <w:bookmarkStart w:id="15" w:name="ksadvancedflower_ex991"/>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 of funds for all purchases below by the Reporting Person was from personal funds. For each of the transactions below that occurred in multiple trades on the same day, the Reporting Person hereby undertakes to provide full information regarding the number of shares and prices at which the transactions were effected upon request to the staff of the SEC, the Issuer, or a security holder of the Issuer.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90"/>
        <w:gridCol w:w="60"/>
        <w:gridCol w:w="2404"/>
        <w:gridCol w:w="60"/>
        <w:gridCol w:w="2612"/>
        <w:gridCol w:w="60"/>
        <w:gridCol w:w="917"/>
        <w:gridCol w:w="60"/>
        <w:gridCol w:w="225"/>
        <w:gridCol w:w="709"/>
        <w:gridCol w:w="60"/>
        <w:gridCol w:w="60"/>
        <w:gridCol w:w="1288"/>
      </w:tblGrid>
      <w:tr>
        <w:trPr/>
        <w:tc>
          <w:tcPr>
            <w:tcW w:w="1690" w:type="dxa"/>
            <w:tcBorders>
              <w:bottom w:val="single" w:sz="8" w:space="0" w:color="000000"/>
            </w:tcBorders>
            <w:vAlign w:val="center"/>
          </w:tcPr>
          <w:p>
            <w:pPr>
              <w:pStyle w:val="TableContents"/>
              <w:bidi w:val="0"/>
              <w:spacing w:before="0" w:after="283"/>
              <w:jc w:val="center"/>
              <w:rPr>
                <w:b/>
                <w:sz w:val="20"/>
              </w:rPr>
            </w:pPr>
            <w:r>
              <w:rPr>
                <w:b/>
                <w:sz w:val="20"/>
              </w:rPr>
              <w:t>Date of Transaction</w:t>
            </w:r>
          </w:p>
        </w:tc>
        <w:tc>
          <w:tcPr>
            <w:tcW w:w="60" w:type="dxa"/>
            <w:tcBorders/>
            <w:tcMar>
              <w:bottom w:w="0" w:type="dxa"/>
            </w:tcMar>
            <w:vAlign w:val="center"/>
          </w:tcPr>
          <w:p>
            <w:pPr>
              <w:pStyle w:val="TableContents"/>
              <w:bidi w:val="0"/>
              <w:spacing w:before="0" w:after="283"/>
              <w:jc w:val="left"/>
              <w:rPr/>
            </w:pPr>
            <w:r>
              <w:rPr/>
              <w:t> </w:t>
            </w:r>
          </w:p>
        </w:tc>
        <w:tc>
          <w:tcPr>
            <w:tcW w:w="2404" w:type="dxa"/>
            <w:tcBorders>
              <w:bottom w:val="single" w:sz="8" w:space="0" w:color="000000"/>
            </w:tcBorders>
            <w:vAlign w:val="center"/>
          </w:tcPr>
          <w:p>
            <w:pPr>
              <w:pStyle w:val="TableContents"/>
              <w:bidi w:val="0"/>
              <w:spacing w:before="0" w:after="283"/>
              <w:jc w:val="center"/>
              <w:rPr>
                <w:b/>
                <w:sz w:val="20"/>
              </w:rPr>
            </w:pPr>
            <w:r>
              <w:rPr>
                <w:b/>
                <w:sz w:val="20"/>
              </w:rPr>
              <w:t xml:space="preserve">Person Effecting </w:t>
              <w:br/>
              <w:t>the Transaction</w:t>
            </w:r>
          </w:p>
        </w:tc>
        <w:tc>
          <w:tcPr>
            <w:tcW w:w="60" w:type="dxa"/>
            <w:tcBorders/>
            <w:tcMar>
              <w:bottom w:w="0" w:type="dxa"/>
            </w:tcMar>
            <w:vAlign w:val="center"/>
          </w:tcPr>
          <w:p>
            <w:pPr>
              <w:pStyle w:val="TableContents"/>
              <w:bidi w:val="0"/>
              <w:spacing w:before="0" w:after="283"/>
              <w:jc w:val="left"/>
              <w:rPr/>
            </w:pPr>
            <w:r>
              <w:rPr/>
              <w:t> </w:t>
            </w:r>
          </w:p>
        </w:tc>
        <w:tc>
          <w:tcPr>
            <w:tcW w:w="261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60" w:type="dxa"/>
            <w:tcBorders/>
            <w:tcMar>
              <w:bottom w:w="0" w:type="dxa"/>
            </w:tcMar>
            <w:vAlign w:val="center"/>
          </w:tcPr>
          <w:p>
            <w:pPr>
              <w:pStyle w:val="TableContents"/>
              <w:bidi w:val="0"/>
              <w:spacing w:before="0" w:after="283"/>
              <w:jc w:val="left"/>
              <w:rPr/>
            </w:pPr>
            <w:r>
              <w:rPr/>
              <w:t> </w:t>
            </w:r>
          </w:p>
        </w:tc>
        <w:tc>
          <w:tcPr>
            <w:tcW w:w="91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Avg, Price </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r>
          </w:p>
        </w:tc>
      </w:tr>
      <w:tr>
        <w:trPr/>
        <w:tc>
          <w:tcPr>
            <w:tcW w:w="1690" w:type="dxa"/>
            <w:tcBorders/>
            <w:shd w:fill="CCEEFF" w:val="clear"/>
            <w:tcMar>
              <w:bottom w:w="0" w:type="dxa"/>
            </w:tcMar>
            <w:vAlign w:val="center"/>
          </w:tcPr>
          <w:p>
            <w:pPr>
              <w:pStyle w:val="TableContents"/>
              <w:bidi w:val="0"/>
              <w:spacing w:before="0" w:after="283"/>
              <w:jc w:val="center"/>
              <w:rPr>
                <w:sz w:val="20"/>
              </w:rPr>
            </w:pPr>
            <w:r>
              <w:rPr>
                <w:sz w:val="20"/>
              </w:rPr>
              <w:t>08/14/2026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4" w:type="dxa"/>
            <w:tcBorders/>
            <w:shd w:fill="CCEE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2" w:type="dxa"/>
            <w:tcBorders/>
            <w:shd w:fill="CCEE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 w:type="dxa"/>
            <w:tcBorders/>
            <w:shd w:fill="CCEEFF" w:val="clear"/>
            <w:tcMar>
              <w:bottom w:w="0" w:type="dxa"/>
            </w:tcMar>
            <w:vAlign w:val="center"/>
          </w:tcPr>
          <w:p>
            <w:pPr>
              <w:pStyle w:val="TableContents"/>
              <w:bidi w:val="0"/>
              <w:spacing w:before="0" w:after="283"/>
              <w:jc w:val="center"/>
              <w:rPr>
                <w:sz w:val="20"/>
              </w:rPr>
            </w:pPr>
            <w:r>
              <w:rPr>
                <w:sz w:val="20"/>
              </w:rPr>
              <w:t>45,829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sz w:val="20"/>
              </w:rPr>
            </w:pPr>
            <w:r>
              <w:rPr>
                <w:sz w:val="20"/>
              </w:rPr>
              <w:t>$</w:t>
            </w:r>
          </w:p>
        </w:tc>
        <w:tc>
          <w:tcPr>
            <w:tcW w:w="709" w:type="dxa"/>
            <w:tcBorders/>
            <w:shd w:fill="CCEEFF" w:val="clear"/>
            <w:tcMar>
              <w:bottom w:w="0" w:type="dxa"/>
            </w:tcMar>
            <w:vAlign w:val="center"/>
          </w:tcPr>
          <w:p>
            <w:pPr>
              <w:pStyle w:val="TableContents"/>
              <w:bidi w:val="0"/>
              <w:spacing w:before="0" w:after="283"/>
              <w:jc w:val="right"/>
              <w:rPr>
                <w:sz w:val="20"/>
              </w:rPr>
            </w:pPr>
            <w:r>
              <w:rPr>
                <w:sz w:val="20"/>
              </w:rPr>
              <w:t>3.06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center"/>
              <w:rPr>
                <w:sz w:val="20"/>
              </w:rPr>
            </w:pPr>
            <w:r>
              <w:rPr>
                <w:sz w:val="20"/>
              </w:rPr>
              <w:t>$3.01 - $3.13</w:t>
            </w:r>
          </w:p>
        </w:tc>
      </w:tr>
      <w:tr>
        <w:trPr/>
        <w:tc>
          <w:tcPr>
            <w:tcW w:w="1690" w:type="dxa"/>
            <w:tcBorders/>
            <w:shd w:fill="FFFFFF" w:val="clear"/>
            <w:tcMar>
              <w:bottom w:w="0" w:type="dxa"/>
            </w:tcMar>
            <w:vAlign w:val="center"/>
          </w:tcPr>
          <w:p>
            <w:pPr>
              <w:pStyle w:val="TableContents"/>
              <w:bidi w:val="0"/>
              <w:spacing w:before="0" w:after="283"/>
              <w:jc w:val="center"/>
              <w:rPr>
                <w:sz w:val="20"/>
              </w:rPr>
            </w:pPr>
            <w:r>
              <w:rPr>
                <w:sz w:val="20"/>
              </w:rPr>
              <w:t>08/19/2026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4" w:type="dxa"/>
            <w:tcBorders/>
            <w:shd w:fill="FFFF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2" w:type="dxa"/>
            <w:tcBorders/>
            <w:shd w:fill="FFFF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 w:type="dxa"/>
            <w:tcBorders/>
            <w:shd w:fill="FFFFFF" w:val="clear"/>
            <w:tcMar>
              <w:bottom w:w="0" w:type="dxa"/>
            </w:tcMar>
            <w:vAlign w:val="center"/>
          </w:tcPr>
          <w:p>
            <w:pPr>
              <w:pStyle w:val="TableContents"/>
              <w:bidi w:val="0"/>
              <w:spacing w:before="0" w:after="283"/>
              <w:jc w:val="center"/>
              <w:rPr>
                <w:sz w:val="20"/>
              </w:rPr>
            </w:pPr>
            <w:r>
              <w:rPr>
                <w:sz w:val="20"/>
              </w:rPr>
              <w:t>12,841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 w:type="dxa"/>
            <w:tcBorders/>
            <w:shd w:fill="FFFFFF" w:val="clear"/>
            <w:tcMar>
              <w:bottom w:w="0" w:type="dxa"/>
            </w:tcMar>
            <w:vAlign w:val="center"/>
          </w:tcPr>
          <w:p>
            <w:pPr>
              <w:pStyle w:val="TableContents"/>
              <w:bidi w:val="0"/>
              <w:spacing w:before="0" w:after="283"/>
              <w:jc w:val="left"/>
              <w:rPr>
                <w:sz w:val="20"/>
              </w:rPr>
            </w:pPr>
            <w:r>
              <w:rPr>
                <w:sz w:val="20"/>
              </w:rPr>
              <w:t>$</w:t>
            </w:r>
          </w:p>
        </w:tc>
        <w:tc>
          <w:tcPr>
            <w:tcW w:w="709" w:type="dxa"/>
            <w:tcBorders/>
            <w:shd w:fill="FFFFFF" w:val="clear"/>
            <w:tcMar>
              <w:bottom w:w="0" w:type="dxa"/>
            </w:tcMar>
            <w:vAlign w:val="center"/>
          </w:tcPr>
          <w:p>
            <w:pPr>
              <w:pStyle w:val="TableContents"/>
              <w:bidi w:val="0"/>
              <w:spacing w:before="0" w:after="283"/>
              <w:jc w:val="right"/>
              <w:rPr>
                <w:sz w:val="20"/>
              </w:rPr>
            </w:pPr>
            <w:r>
              <w:rPr>
                <w:sz w:val="20"/>
              </w:rPr>
              <w:t>3.48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center"/>
              <w:rPr>
                <w:sz w:val="20"/>
              </w:rPr>
            </w:pPr>
            <w:r>
              <w:rPr>
                <w:sz w:val="20"/>
              </w:rPr>
              <w:t>$3.48 - $3.50</w:t>
            </w:r>
          </w:p>
        </w:tc>
      </w:tr>
      <w:tr>
        <w:trPr/>
        <w:tc>
          <w:tcPr>
            <w:tcW w:w="1690" w:type="dxa"/>
            <w:tcBorders/>
            <w:shd w:fill="CCEEFF" w:val="clear"/>
            <w:tcMar>
              <w:bottom w:w="0" w:type="dxa"/>
            </w:tcMar>
            <w:vAlign w:val="center"/>
          </w:tcPr>
          <w:p>
            <w:pPr>
              <w:pStyle w:val="TableContents"/>
              <w:bidi w:val="0"/>
              <w:spacing w:before="0" w:after="283"/>
              <w:jc w:val="center"/>
              <w:rPr>
                <w:sz w:val="20"/>
              </w:rPr>
            </w:pPr>
            <w:r>
              <w:rPr>
                <w:sz w:val="20"/>
              </w:rPr>
              <w:t>08/20/2026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04" w:type="dxa"/>
            <w:tcBorders/>
            <w:shd w:fill="CCEE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12" w:type="dxa"/>
            <w:tcBorders/>
            <w:shd w:fill="CCEE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7" w:type="dxa"/>
            <w:tcBorders/>
            <w:shd w:fill="CCEEFF" w:val="clear"/>
            <w:tcMar>
              <w:bottom w:w="0" w:type="dxa"/>
            </w:tcMar>
            <w:vAlign w:val="center"/>
          </w:tcPr>
          <w:p>
            <w:pPr>
              <w:pStyle w:val="TableContents"/>
              <w:bidi w:val="0"/>
              <w:spacing w:before="0" w:after="283"/>
              <w:jc w:val="center"/>
              <w:rPr>
                <w:sz w:val="20"/>
              </w:rPr>
            </w:pPr>
            <w:r>
              <w:rPr>
                <w:sz w:val="20"/>
              </w:rPr>
              <w:t>20,000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25"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09" w:type="dxa"/>
            <w:tcBorders/>
            <w:shd w:fill="CCEEFF" w:val="clear"/>
            <w:tcMar>
              <w:bottom w:w="0" w:type="dxa"/>
            </w:tcMar>
            <w:vAlign w:val="center"/>
          </w:tcPr>
          <w:p>
            <w:pPr>
              <w:pStyle w:val="TableContents"/>
              <w:bidi w:val="0"/>
              <w:spacing w:before="0" w:after="283"/>
              <w:jc w:val="right"/>
              <w:rPr>
                <w:sz w:val="20"/>
              </w:rPr>
            </w:pPr>
            <w:r>
              <w:rPr>
                <w:sz w:val="20"/>
              </w:rPr>
              <w:t>3.29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88" w:type="dxa"/>
            <w:tcBorders/>
            <w:shd w:fill="CCEEFF" w:val="clear"/>
            <w:tcMar>
              <w:bottom w:w="0" w:type="dxa"/>
            </w:tcMar>
            <w:vAlign w:val="center"/>
          </w:tcPr>
          <w:p>
            <w:pPr>
              <w:pStyle w:val="TableContents"/>
              <w:bidi w:val="0"/>
              <w:spacing w:before="0" w:after="283"/>
              <w:jc w:val="center"/>
              <w:rPr>
                <w:sz w:val="20"/>
              </w:rPr>
            </w:pPr>
            <w:r>
              <w:rPr>
                <w:sz w:val="20"/>
              </w:rPr>
              <w:t>$3.29 - $3.30</w:t>
            </w:r>
          </w:p>
        </w:tc>
      </w:tr>
      <w:tr>
        <w:trPr/>
        <w:tc>
          <w:tcPr>
            <w:tcW w:w="1690" w:type="dxa"/>
            <w:tcBorders/>
            <w:shd w:fill="FFFFFF" w:val="clear"/>
            <w:tcMar>
              <w:bottom w:w="0" w:type="dxa"/>
            </w:tcMar>
            <w:vAlign w:val="center"/>
          </w:tcPr>
          <w:p>
            <w:pPr>
              <w:pStyle w:val="TableContents"/>
              <w:bidi w:val="0"/>
              <w:spacing w:before="0" w:after="283"/>
              <w:jc w:val="center"/>
              <w:rPr>
                <w:sz w:val="20"/>
              </w:rPr>
            </w:pPr>
            <w:r>
              <w:rPr>
                <w:sz w:val="20"/>
              </w:rPr>
              <w:t>08/21/2026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04" w:type="dxa"/>
            <w:tcBorders/>
            <w:shd w:fill="FFFF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12" w:type="dxa"/>
            <w:tcBorders/>
            <w:shd w:fill="FFFF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17" w:type="dxa"/>
            <w:tcBorders/>
            <w:shd w:fill="FFFFFF" w:val="clear"/>
            <w:tcMar>
              <w:bottom w:w="0" w:type="dxa"/>
            </w:tcMar>
            <w:vAlign w:val="center"/>
          </w:tcPr>
          <w:p>
            <w:pPr>
              <w:pStyle w:val="TableContents"/>
              <w:bidi w:val="0"/>
              <w:spacing w:before="0" w:after="283"/>
              <w:jc w:val="center"/>
              <w:rPr>
                <w:sz w:val="20"/>
              </w:rPr>
            </w:pPr>
            <w:r>
              <w:rPr>
                <w:sz w:val="20"/>
              </w:rPr>
              <w:t>25,000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5" w:type="dxa"/>
            <w:tcBorders/>
            <w:shd w:fill="FFFFFF" w:val="clear"/>
            <w:tcMar>
              <w:bottom w:w="0" w:type="dxa"/>
            </w:tcMar>
            <w:vAlign w:val="center"/>
          </w:tcPr>
          <w:p>
            <w:pPr>
              <w:pStyle w:val="TableContents"/>
              <w:bidi w:val="0"/>
              <w:spacing w:before="0" w:after="283"/>
              <w:jc w:val="center"/>
              <w:rPr>
                <w:sz w:val="20"/>
              </w:rPr>
            </w:pPr>
            <w:r>
              <w:rPr>
                <w:sz w:val="20"/>
              </w:rPr>
              <w:t>$</w:t>
            </w:r>
          </w:p>
        </w:tc>
        <w:tc>
          <w:tcPr>
            <w:tcW w:w="709" w:type="dxa"/>
            <w:tcBorders/>
            <w:shd w:fill="FFFFFF" w:val="clear"/>
            <w:tcMar>
              <w:bottom w:w="0" w:type="dxa"/>
            </w:tcMar>
            <w:vAlign w:val="center"/>
          </w:tcPr>
          <w:p>
            <w:pPr>
              <w:pStyle w:val="TableContents"/>
              <w:bidi w:val="0"/>
              <w:spacing w:before="0" w:after="283"/>
              <w:jc w:val="right"/>
              <w:rPr>
                <w:sz w:val="20"/>
              </w:rPr>
            </w:pPr>
            <w:r>
              <w:rPr>
                <w:sz w:val="20"/>
              </w:rPr>
              <w:t>3.28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88" w:type="dxa"/>
            <w:tcBorders/>
            <w:shd w:fill="FFFFFF" w:val="clear"/>
            <w:tcMar>
              <w:bottom w:w="0" w:type="dxa"/>
            </w:tcMar>
            <w:vAlign w:val="center"/>
          </w:tcPr>
          <w:p>
            <w:pPr>
              <w:pStyle w:val="TableContents"/>
              <w:bidi w:val="0"/>
              <w:spacing w:before="0" w:after="283"/>
              <w:jc w:val="center"/>
              <w:rPr>
                <w:sz w:val="20"/>
              </w:rPr>
            </w:pPr>
            <w:r>
              <w:rPr>
                <w:sz w:val="20"/>
              </w:rPr>
              <w:t>$3.27 - $3.30</w:t>
            </w:r>
          </w:p>
        </w:tc>
      </w:tr>
      <w:tr>
        <w:trPr/>
        <w:tc>
          <w:tcPr>
            <w:tcW w:w="1690" w:type="dxa"/>
            <w:tcBorders/>
            <w:shd w:fill="CCEEFF" w:val="clear"/>
            <w:tcMar>
              <w:bottom w:w="0" w:type="dxa"/>
            </w:tcMar>
            <w:vAlign w:val="center"/>
          </w:tcPr>
          <w:p>
            <w:pPr>
              <w:pStyle w:val="TableContents"/>
              <w:bidi w:val="0"/>
              <w:spacing w:before="0" w:after="283"/>
              <w:jc w:val="center"/>
              <w:rPr/>
            </w:pPr>
            <w:r>
              <w:rPr/>
              <w:t>08/24/2026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04" w:type="dxa"/>
            <w:tcBorders/>
            <w:shd w:fill="CCEEFF" w:val="clear"/>
            <w:tcMar>
              <w:bottom w:w="0" w:type="dxa"/>
            </w:tcMar>
            <w:vAlign w:val="center"/>
          </w:tcPr>
          <w:p>
            <w:pPr>
              <w:pStyle w:val="TableContents"/>
              <w:bidi w:val="0"/>
              <w:spacing w:before="0" w:after="283"/>
              <w:jc w:val="center"/>
              <w:rPr/>
            </w:pPr>
            <w:r>
              <w:rPr/>
              <w:t>Leonard M. Tannenbaum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12" w:type="dxa"/>
            <w:tcBorders/>
            <w:shd w:fill="CCEEFF" w:val="clear"/>
            <w:tcMar>
              <w:bottom w:w="0" w:type="dxa"/>
            </w:tcMar>
            <w:vAlign w:val="center"/>
          </w:tcPr>
          <w:p>
            <w:pPr>
              <w:pStyle w:val="TableContents"/>
              <w:bidi w:val="0"/>
              <w:spacing w:before="0" w:after="283"/>
              <w:jc w:val="center"/>
              <w:rPr/>
            </w:pPr>
            <w:r>
              <w:rPr/>
              <w:t>Purchase of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7" w:type="dxa"/>
            <w:tcBorders/>
            <w:shd w:fill="CCEEFF" w:val="clear"/>
            <w:tcMar>
              <w:bottom w:w="0" w:type="dxa"/>
            </w:tcMar>
            <w:vAlign w:val="center"/>
          </w:tcPr>
          <w:p>
            <w:pPr>
              <w:pStyle w:val="TableContents"/>
              <w:bidi w:val="0"/>
              <w:spacing w:before="0" w:after="283"/>
              <w:jc w:val="center"/>
              <w:rPr/>
            </w:pPr>
            <w:r>
              <w:rPr/>
              <w:t>30,000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25" w:type="dxa"/>
            <w:tcBorders/>
            <w:shd w:fill="CCEEFF" w:val="clear"/>
            <w:tcMar>
              <w:bottom w:w="0" w:type="dxa"/>
            </w:tcMar>
            <w:vAlign w:val="center"/>
          </w:tcPr>
          <w:p>
            <w:pPr>
              <w:pStyle w:val="TableContents"/>
              <w:bidi w:val="0"/>
              <w:spacing w:before="0" w:after="283"/>
              <w:jc w:val="center"/>
              <w:rPr/>
            </w:pPr>
            <w:r>
              <w:rPr/>
              <w:t>$</w:t>
            </w:r>
          </w:p>
        </w:tc>
        <w:tc>
          <w:tcPr>
            <w:tcW w:w="709" w:type="dxa"/>
            <w:tcBorders/>
            <w:shd w:fill="CCEEFF" w:val="clear"/>
            <w:tcMar>
              <w:bottom w:w="0" w:type="dxa"/>
            </w:tcMar>
            <w:vAlign w:val="center"/>
          </w:tcPr>
          <w:p>
            <w:pPr>
              <w:pStyle w:val="TableContents"/>
              <w:bidi w:val="0"/>
              <w:spacing w:before="0" w:after="283"/>
              <w:jc w:val="right"/>
              <w:rPr/>
            </w:pPr>
            <w:r>
              <w:rPr/>
              <w:t>3.41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88" w:type="dxa"/>
            <w:tcBorders/>
            <w:shd w:fill="CCEEFF" w:val="clear"/>
            <w:tcMar>
              <w:bottom w:w="0" w:type="dxa"/>
            </w:tcMar>
            <w:vAlign w:val="center"/>
          </w:tcPr>
          <w:p>
            <w:pPr>
              <w:pStyle w:val="TableContents"/>
              <w:bidi w:val="0"/>
              <w:spacing w:before="0" w:after="283"/>
              <w:jc w:val="center"/>
              <w:rPr/>
            </w:pPr>
            <w:r>
              <w:rPr/>
              <w:t>$3.40 - $3.42</w:t>
            </w:r>
          </w:p>
        </w:tc>
      </w:tr>
      <w:tr>
        <w:trPr/>
        <w:tc>
          <w:tcPr>
            <w:tcW w:w="1690" w:type="dxa"/>
            <w:tcBorders/>
            <w:shd w:fill="FFFFFF" w:val="clear"/>
            <w:tcMar>
              <w:bottom w:w="0" w:type="dxa"/>
            </w:tcMar>
            <w:vAlign w:val="center"/>
          </w:tcPr>
          <w:p>
            <w:pPr>
              <w:pStyle w:val="TableContents"/>
              <w:bidi w:val="0"/>
              <w:spacing w:before="0" w:after="283"/>
              <w:jc w:val="center"/>
              <w:rPr/>
            </w:pPr>
            <w:r>
              <w:rPr/>
              <w:t>08/25/2026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04" w:type="dxa"/>
            <w:tcBorders/>
            <w:shd w:fill="FFFFFF" w:val="clear"/>
            <w:tcMar>
              <w:bottom w:w="0" w:type="dxa"/>
            </w:tcMar>
            <w:vAlign w:val="center"/>
          </w:tcPr>
          <w:p>
            <w:pPr>
              <w:pStyle w:val="TableContents"/>
              <w:bidi w:val="0"/>
              <w:spacing w:before="0" w:after="283"/>
              <w:jc w:val="center"/>
              <w:rPr/>
            </w:pPr>
            <w:r>
              <w:rPr/>
              <w:t>Leonard M. Tannenbaum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12" w:type="dxa"/>
            <w:tcBorders/>
            <w:shd w:fill="FFFFFF" w:val="clear"/>
            <w:tcMar>
              <w:bottom w:w="0" w:type="dxa"/>
            </w:tcMar>
            <w:vAlign w:val="center"/>
          </w:tcPr>
          <w:p>
            <w:pPr>
              <w:pStyle w:val="TableContents"/>
              <w:bidi w:val="0"/>
              <w:spacing w:before="0" w:after="283"/>
              <w:jc w:val="center"/>
              <w:rPr/>
            </w:pPr>
            <w:r>
              <w:rPr/>
              <w:t>Purchase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17" w:type="dxa"/>
            <w:tcBorders/>
            <w:shd w:fill="FFFFFF" w:val="clear"/>
            <w:tcMar>
              <w:bottom w:w="0" w:type="dxa"/>
            </w:tcMar>
            <w:vAlign w:val="center"/>
          </w:tcPr>
          <w:p>
            <w:pPr>
              <w:pStyle w:val="TableContents"/>
              <w:bidi w:val="0"/>
              <w:spacing w:before="0" w:after="283"/>
              <w:jc w:val="center"/>
              <w:rPr/>
            </w:pPr>
            <w:r>
              <w:rPr/>
              <w:t>30,000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5" w:type="dxa"/>
            <w:tcBorders/>
            <w:shd w:fill="FFFFFF" w:val="clear"/>
            <w:tcMar>
              <w:bottom w:w="0" w:type="dxa"/>
            </w:tcMar>
            <w:vAlign w:val="center"/>
          </w:tcPr>
          <w:p>
            <w:pPr>
              <w:pStyle w:val="TableContents"/>
              <w:bidi w:val="0"/>
              <w:spacing w:before="0" w:after="283"/>
              <w:jc w:val="center"/>
              <w:rPr/>
            </w:pPr>
            <w:r>
              <w:rPr/>
              <w:t>$</w:t>
            </w:r>
          </w:p>
        </w:tc>
        <w:tc>
          <w:tcPr>
            <w:tcW w:w="709" w:type="dxa"/>
            <w:tcBorders/>
            <w:shd w:fill="FFFFFF" w:val="clear"/>
            <w:tcMar>
              <w:bottom w:w="0" w:type="dxa"/>
            </w:tcMar>
            <w:vAlign w:val="center"/>
          </w:tcPr>
          <w:p>
            <w:pPr>
              <w:pStyle w:val="TableContents"/>
              <w:bidi w:val="0"/>
              <w:spacing w:before="0" w:after="283"/>
              <w:jc w:val="right"/>
              <w:rPr/>
            </w:pPr>
            <w:r>
              <w:rPr/>
              <w:t>3.40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88" w:type="dxa"/>
            <w:tcBorders/>
            <w:shd w:fill="FFFFFF" w:val="clear"/>
            <w:tcMar>
              <w:bottom w:w="0" w:type="dxa"/>
            </w:tcMar>
            <w:vAlign w:val="center"/>
          </w:tcPr>
          <w:p>
            <w:pPr>
              <w:pStyle w:val="TableContents"/>
              <w:bidi w:val="0"/>
              <w:spacing w:before="0" w:after="283"/>
              <w:jc w:val="center"/>
              <w:rPr/>
            </w:pPr>
            <w:r>
              <w:rPr/>
              <w:t>$3.39 - $3.41</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1230</Words>
  <Characters>6238</Characters>
  <CharactersWithSpaces>7420</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